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416" w:rsidRPr="007169C3" w:rsidRDefault="00761416" w:rsidP="00761416">
      <w:pPr>
        <w:jc w:val="center"/>
        <w:rPr>
          <w:b/>
          <w:sz w:val="24"/>
          <w:szCs w:val="24"/>
        </w:rPr>
      </w:pPr>
    </w:p>
    <w:p w:rsidR="00761416" w:rsidRDefault="00761416" w:rsidP="00761416">
      <w:pPr>
        <w:adjustRightInd w:val="0"/>
        <w:jc w:val="both"/>
        <w:outlineLvl w:val="0"/>
        <w:rPr>
          <w:szCs w:val="20"/>
        </w:rPr>
      </w:pPr>
    </w:p>
    <w:p w:rsidR="000C07A4" w:rsidRDefault="000C07A4" w:rsidP="001E498F">
      <w:pPr>
        <w:widowControl w:val="0"/>
        <w:autoSpaceDE w:val="0"/>
        <w:autoSpaceDN w:val="0"/>
        <w:adjustRightInd w:val="0"/>
        <w:ind w:left="4678"/>
        <w:jc w:val="both"/>
        <w:rPr>
          <w:bCs/>
        </w:rPr>
      </w:pPr>
    </w:p>
    <w:p w:rsidR="009F795F" w:rsidRPr="009F795F" w:rsidRDefault="009F795F" w:rsidP="009F795F">
      <w:pPr>
        <w:ind w:left="4678"/>
        <w:jc w:val="right"/>
        <w:rPr>
          <w:bCs/>
          <w:sz w:val="24"/>
          <w:szCs w:val="24"/>
        </w:rPr>
      </w:pPr>
    </w:p>
    <w:p w:rsidR="009F795F" w:rsidRPr="009F795F" w:rsidRDefault="009F795F" w:rsidP="009F795F">
      <w:pPr>
        <w:ind w:left="4536" w:right="-1"/>
        <w:jc w:val="both"/>
        <w:rPr>
          <w:bCs/>
          <w:sz w:val="24"/>
          <w:szCs w:val="24"/>
        </w:rPr>
      </w:pPr>
    </w:p>
    <w:p w:rsidR="009F795F" w:rsidRPr="001E498F" w:rsidRDefault="00F43EED" w:rsidP="009F795F">
      <w:pPr>
        <w:jc w:val="center"/>
        <w:rPr>
          <w:b/>
          <w:szCs w:val="24"/>
        </w:rPr>
      </w:pPr>
      <w:r>
        <w:rPr>
          <w:b/>
          <w:szCs w:val="24"/>
        </w:rPr>
        <w:t>С</w:t>
      </w:r>
      <w:r w:rsidR="009F795F" w:rsidRPr="001E498F">
        <w:rPr>
          <w:b/>
          <w:szCs w:val="24"/>
        </w:rPr>
        <w:t>вод предложений</w:t>
      </w:r>
    </w:p>
    <w:p w:rsidR="009F795F" w:rsidRPr="001E498F" w:rsidRDefault="009F795F" w:rsidP="009F795F">
      <w:pPr>
        <w:jc w:val="center"/>
        <w:rPr>
          <w:b/>
          <w:szCs w:val="24"/>
        </w:rPr>
      </w:pPr>
      <w:r w:rsidRPr="001E498F">
        <w:rPr>
          <w:b/>
          <w:szCs w:val="24"/>
        </w:rPr>
        <w:t xml:space="preserve">по результатам проведения публичных консультаций </w:t>
      </w:r>
    </w:p>
    <w:p w:rsidR="009F795F" w:rsidRPr="009F795F" w:rsidRDefault="009F795F" w:rsidP="009F795F">
      <w:pPr>
        <w:jc w:val="center"/>
        <w:rPr>
          <w:b/>
          <w:sz w:val="24"/>
          <w:szCs w:val="24"/>
        </w:rPr>
      </w:pPr>
    </w:p>
    <w:p w:rsidR="009F795F" w:rsidRPr="00BA5CB8" w:rsidRDefault="009F795F" w:rsidP="009F795F">
      <w:pPr>
        <w:jc w:val="both"/>
        <w:rPr>
          <w:sz w:val="24"/>
          <w:szCs w:val="24"/>
        </w:rPr>
      </w:pPr>
      <w:r w:rsidRPr="009F795F">
        <w:rPr>
          <w:sz w:val="24"/>
          <w:szCs w:val="24"/>
        </w:rPr>
        <w:t xml:space="preserve">В соответствии с Порядком </w:t>
      </w:r>
      <w:r w:rsidRPr="009F795F">
        <w:rPr>
          <w:rFonts w:eastAsia="Calibri"/>
          <w:bCs/>
          <w:sz w:val="24"/>
          <w:szCs w:val="24"/>
          <w:lang w:eastAsia="en-US"/>
        </w:rPr>
        <w:t xml:space="preserve">проведения оценки регулирующего воздействия </w:t>
      </w:r>
      <w:r w:rsidRPr="009F795F">
        <w:rPr>
          <w:rFonts w:cs="Calibri"/>
          <w:sz w:val="24"/>
          <w:szCs w:val="24"/>
        </w:rPr>
        <w:t xml:space="preserve">проектов муниципальных нормативных правовых актов </w:t>
      </w:r>
      <w:r w:rsidRPr="009F795F">
        <w:rPr>
          <w:rFonts w:eastAsia="Calibri"/>
          <w:bCs/>
          <w:sz w:val="24"/>
          <w:szCs w:val="24"/>
          <w:lang w:eastAsia="en-US"/>
        </w:rPr>
        <w:t>администрации района</w:t>
      </w:r>
      <w:r w:rsidR="00753B60">
        <w:rPr>
          <w:rFonts w:eastAsia="Calibri"/>
          <w:bCs/>
          <w:sz w:val="24"/>
          <w:szCs w:val="24"/>
          <w:lang w:eastAsia="en-US"/>
        </w:rPr>
        <w:t xml:space="preserve"> и</w:t>
      </w:r>
      <w:r w:rsidRPr="009F795F">
        <w:rPr>
          <w:sz w:val="24"/>
          <w:szCs w:val="24"/>
        </w:rPr>
        <w:t xml:space="preserve"> </w:t>
      </w:r>
      <w:r w:rsidRPr="009F795F">
        <w:rPr>
          <w:rFonts w:eastAsia="Calibri"/>
          <w:bCs/>
          <w:sz w:val="24"/>
          <w:szCs w:val="24"/>
          <w:lang w:eastAsia="en-US"/>
        </w:rPr>
        <w:t xml:space="preserve">экспертизы </w:t>
      </w:r>
      <w:r w:rsidRPr="00BA5CB8">
        <w:rPr>
          <w:rFonts w:cs="Calibri"/>
          <w:sz w:val="24"/>
          <w:szCs w:val="24"/>
        </w:rPr>
        <w:t>муниципальных нормативных правовых</w:t>
      </w:r>
      <w:r w:rsidRPr="00BA5CB8">
        <w:rPr>
          <w:rFonts w:ascii="Calibri" w:hAnsi="Calibri" w:cs="Calibri"/>
          <w:sz w:val="24"/>
          <w:szCs w:val="24"/>
        </w:rPr>
        <w:t xml:space="preserve"> </w:t>
      </w:r>
      <w:r w:rsidRPr="00BA5CB8">
        <w:rPr>
          <w:rFonts w:cs="Calibri"/>
          <w:sz w:val="24"/>
          <w:szCs w:val="24"/>
        </w:rPr>
        <w:t>актов администрации района,</w:t>
      </w:r>
      <w:r w:rsidRPr="00BA5CB8">
        <w:rPr>
          <w:rFonts w:eastAsia="Calibri"/>
          <w:bCs/>
          <w:sz w:val="24"/>
          <w:szCs w:val="24"/>
          <w:lang w:eastAsia="en-US"/>
        </w:rPr>
        <w:t xml:space="preserve"> </w:t>
      </w:r>
      <w:r w:rsidRPr="00BA5CB8">
        <w:rPr>
          <w:sz w:val="24"/>
          <w:szCs w:val="24"/>
        </w:rPr>
        <w:t>утвержденного постановлением администрации района от 18.06.2016 № 1726</w:t>
      </w:r>
      <w:r w:rsidR="00F43EED">
        <w:rPr>
          <w:sz w:val="24"/>
          <w:szCs w:val="24"/>
        </w:rPr>
        <w:t xml:space="preserve"> </w:t>
      </w:r>
      <w:r w:rsidR="00BA5CB8" w:rsidRPr="00BA5CB8">
        <w:rPr>
          <w:sz w:val="24"/>
          <w:szCs w:val="24"/>
        </w:rPr>
        <w:t xml:space="preserve">управление культуры и спорта администрации Нижневартовского района </w:t>
      </w:r>
    </w:p>
    <w:p w:rsidR="009F795F" w:rsidRPr="001E498F" w:rsidRDefault="009F795F" w:rsidP="009F795F">
      <w:pPr>
        <w:spacing w:line="276" w:lineRule="auto"/>
        <w:jc w:val="center"/>
        <w:rPr>
          <w:sz w:val="20"/>
          <w:szCs w:val="24"/>
        </w:rPr>
      </w:pPr>
      <w:r w:rsidRPr="001E498F">
        <w:rPr>
          <w:sz w:val="20"/>
          <w:szCs w:val="24"/>
        </w:rPr>
        <w:t xml:space="preserve">(наименование регулирующего органа или органа, осуществляющего экспертизу </w:t>
      </w:r>
    </w:p>
    <w:p w:rsidR="009F795F" w:rsidRPr="001E498F" w:rsidRDefault="009F795F" w:rsidP="009F795F">
      <w:pPr>
        <w:jc w:val="center"/>
        <w:rPr>
          <w:sz w:val="20"/>
          <w:szCs w:val="24"/>
        </w:rPr>
      </w:pPr>
      <w:r w:rsidRPr="001E498F">
        <w:rPr>
          <w:sz w:val="20"/>
          <w:szCs w:val="24"/>
        </w:rPr>
        <w:t>муниципальных нормативных правовых актов)</w:t>
      </w:r>
    </w:p>
    <w:p w:rsidR="009F795F" w:rsidRPr="009F795F" w:rsidRDefault="009F795F" w:rsidP="009F795F">
      <w:pPr>
        <w:jc w:val="center"/>
        <w:rPr>
          <w:szCs w:val="20"/>
        </w:rPr>
      </w:pPr>
    </w:p>
    <w:p w:rsidR="00BA5CB8" w:rsidRPr="00750E43" w:rsidRDefault="009F795F" w:rsidP="00BA5CB8">
      <w:pPr>
        <w:ind w:right="-143"/>
        <w:jc w:val="both"/>
      </w:pPr>
      <w:r w:rsidRPr="009F795F">
        <w:rPr>
          <w:sz w:val="24"/>
          <w:szCs w:val="24"/>
        </w:rPr>
        <w:t>в период с "</w:t>
      </w:r>
      <w:r w:rsidR="00BA5CB8">
        <w:rPr>
          <w:sz w:val="24"/>
          <w:szCs w:val="24"/>
        </w:rPr>
        <w:t>08</w:t>
      </w:r>
      <w:r w:rsidRPr="009F795F">
        <w:rPr>
          <w:sz w:val="24"/>
          <w:szCs w:val="24"/>
        </w:rPr>
        <w:t xml:space="preserve">" </w:t>
      </w:r>
      <w:proofErr w:type="gramStart"/>
      <w:r w:rsidR="00BA5CB8">
        <w:rPr>
          <w:sz w:val="24"/>
          <w:szCs w:val="24"/>
        </w:rPr>
        <w:t xml:space="preserve">ноября </w:t>
      </w:r>
      <w:r w:rsidRPr="009F795F">
        <w:rPr>
          <w:sz w:val="24"/>
          <w:szCs w:val="24"/>
        </w:rPr>
        <w:t xml:space="preserve"> 20</w:t>
      </w:r>
      <w:r w:rsidR="00BA5CB8">
        <w:rPr>
          <w:sz w:val="24"/>
          <w:szCs w:val="24"/>
        </w:rPr>
        <w:t>23</w:t>
      </w:r>
      <w:proofErr w:type="gramEnd"/>
      <w:r w:rsidRPr="009F795F">
        <w:rPr>
          <w:sz w:val="24"/>
          <w:szCs w:val="24"/>
        </w:rPr>
        <w:t>года  по  "</w:t>
      </w:r>
      <w:r w:rsidR="00BA5CB8">
        <w:rPr>
          <w:sz w:val="24"/>
          <w:szCs w:val="24"/>
        </w:rPr>
        <w:t>12</w:t>
      </w:r>
      <w:r w:rsidRPr="009F795F">
        <w:rPr>
          <w:sz w:val="24"/>
          <w:szCs w:val="24"/>
        </w:rPr>
        <w:t xml:space="preserve">" </w:t>
      </w:r>
      <w:r w:rsidR="00BA5CB8">
        <w:rPr>
          <w:sz w:val="24"/>
          <w:szCs w:val="24"/>
        </w:rPr>
        <w:t xml:space="preserve">декабря </w:t>
      </w:r>
      <w:r w:rsidRPr="009F795F">
        <w:rPr>
          <w:sz w:val="24"/>
          <w:szCs w:val="24"/>
        </w:rPr>
        <w:t>20</w:t>
      </w:r>
      <w:r w:rsidR="00BA5CB8">
        <w:rPr>
          <w:sz w:val="24"/>
          <w:szCs w:val="24"/>
        </w:rPr>
        <w:t xml:space="preserve">23 </w:t>
      </w:r>
      <w:r w:rsidRPr="009F795F">
        <w:rPr>
          <w:sz w:val="24"/>
          <w:szCs w:val="24"/>
        </w:rPr>
        <w:t xml:space="preserve">года  проведены публичные консультации по </w:t>
      </w:r>
      <w:r w:rsidR="00BA5CB8" w:rsidRPr="00EB77C8">
        <w:rPr>
          <w:color w:val="000000"/>
          <w:sz w:val="24"/>
          <w:szCs w:val="24"/>
        </w:rPr>
        <w:t xml:space="preserve"> постановлению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9F795F" w:rsidP="00BA5CB8">
      <w:pPr>
        <w:jc w:val="center"/>
        <w:rPr>
          <w:sz w:val="20"/>
          <w:szCs w:val="20"/>
        </w:rPr>
      </w:pPr>
      <w:r w:rsidRPr="009F795F">
        <w:rPr>
          <w:sz w:val="20"/>
          <w:szCs w:val="20"/>
        </w:rPr>
        <w:t>(наименование муниципального нормативного правового акта (проекта</w:t>
      </w:r>
      <w:proofErr w:type="gramStart"/>
      <w:r w:rsidRPr="009F795F">
        <w:rPr>
          <w:sz w:val="20"/>
          <w:szCs w:val="20"/>
        </w:rPr>
        <w:t xml:space="preserve">), </w:t>
      </w:r>
      <w:r w:rsidR="00BA5CB8">
        <w:rPr>
          <w:sz w:val="20"/>
          <w:szCs w:val="20"/>
        </w:rPr>
        <w:t xml:space="preserve"> </w:t>
      </w:r>
      <w:r w:rsidRPr="009F795F">
        <w:rPr>
          <w:sz w:val="20"/>
          <w:szCs w:val="20"/>
        </w:rPr>
        <w:t>по</w:t>
      </w:r>
      <w:proofErr w:type="gramEnd"/>
      <w:r w:rsidRPr="009F795F">
        <w:rPr>
          <w:sz w:val="20"/>
          <w:szCs w:val="20"/>
        </w:rPr>
        <w:t xml:space="preserve"> которому проведены публичные консультации)</w:t>
      </w:r>
    </w:p>
    <w:p w:rsidR="009F795F" w:rsidRPr="009F795F" w:rsidRDefault="009F795F" w:rsidP="009F795F">
      <w:pPr>
        <w:jc w:val="both"/>
        <w:rPr>
          <w:szCs w:val="20"/>
        </w:rPr>
      </w:pPr>
    </w:p>
    <w:p w:rsidR="009F795F" w:rsidRPr="009F795F" w:rsidRDefault="009F795F" w:rsidP="009F795F">
      <w:pPr>
        <w:spacing w:line="276" w:lineRule="auto"/>
        <w:jc w:val="both"/>
        <w:rPr>
          <w:sz w:val="24"/>
          <w:szCs w:val="24"/>
        </w:rPr>
      </w:pPr>
      <w:r w:rsidRPr="009F795F">
        <w:rPr>
          <w:sz w:val="24"/>
          <w:szCs w:val="24"/>
        </w:rPr>
        <w:t>Извещения о проведении публичных консультаций были направлены:</w:t>
      </w:r>
    </w:p>
    <w:p w:rsidR="00F43EED" w:rsidRPr="00041B80" w:rsidRDefault="00F43EED" w:rsidP="00F43EED">
      <w:pPr>
        <w:pStyle w:val="afffff9"/>
        <w:rPr>
          <w:rFonts w:ascii="Times New Roman" w:hAnsi="Times New Roman"/>
          <w:sz w:val="24"/>
          <w:szCs w:val="24"/>
          <w:u w:val="single"/>
        </w:rPr>
      </w:pPr>
      <w:bookmarkStart w:id="0" w:name="_Hlk126918788"/>
      <w:r w:rsidRPr="00041B80">
        <w:rPr>
          <w:rFonts w:ascii="Times New Roman" w:hAnsi="Times New Roman"/>
          <w:sz w:val="24"/>
          <w:szCs w:val="24"/>
          <w:u w:val="single"/>
        </w:rPr>
        <w:t>1. Общественной организации Нижневартовского района «Ассоциация развития и поддержки малого и среднего бизнеса»;</w:t>
      </w:r>
    </w:p>
    <w:p w:rsidR="00F43EED" w:rsidRDefault="00F43EED" w:rsidP="00F43EED">
      <w:pPr>
        <w:pStyle w:val="afffff9"/>
        <w:rPr>
          <w:rFonts w:ascii="Times New Roman" w:hAnsi="Times New Roman"/>
          <w:sz w:val="24"/>
          <w:szCs w:val="24"/>
          <w:u w:val="single"/>
        </w:rPr>
      </w:pPr>
      <w:r>
        <w:rPr>
          <w:rFonts w:ascii="Times New Roman" w:hAnsi="Times New Roman"/>
          <w:sz w:val="24"/>
          <w:szCs w:val="24"/>
          <w:u w:val="single"/>
        </w:rPr>
        <w:t>2</w:t>
      </w:r>
      <w:r w:rsidRPr="00041B80">
        <w:rPr>
          <w:rFonts w:ascii="Times New Roman" w:hAnsi="Times New Roman"/>
          <w:sz w:val="24"/>
          <w:szCs w:val="24"/>
          <w:u w:val="single"/>
        </w:rPr>
        <w:t>. Общества с ограниченной ответственностью «</w:t>
      </w:r>
      <w:proofErr w:type="spellStart"/>
      <w:r>
        <w:rPr>
          <w:rFonts w:ascii="Times New Roman" w:hAnsi="Times New Roman"/>
          <w:sz w:val="24"/>
          <w:szCs w:val="24"/>
          <w:u w:val="single"/>
        </w:rPr>
        <w:t>Берегиня</w:t>
      </w:r>
      <w:proofErr w:type="spellEnd"/>
      <w:r w:rsidRPr="00041B80">
        <w:rPr>
          <w:rFonts w:ascii="Times New Roman" w:hAnsi="Times New Roman"/>
          <w:sz w:val="24"/>
          <w:szCs w:val="24"/>
          <w:u w:val="single"/>
        </w:rPr>
        <w:t>»;</w:t>
      </w:r>
    </w:p>
    <w:p w:rsidR="00F43EED" w:rsidRPr="00041B80" w:rsidRDefault="00F43EED" w:rsidP="00F43EED">
      <w:pPr>
        <w:pStyle w:val="afffff9"/>
        <w:rPr>
          <w:rFonts w:ascii="Times New Roman" w:hAnsi="Times New Roman"/>
          <w:sz w:val="24"/>
          <w:szCs w:val="24"/>
          <w:u w:val="single"/>
        </w:rPr>
      </w:pPr>
      <w:r>
        <w:rPr>
          <w:rFonts w:ascii="Times New Roman" w:hAnsi="Times New Roman"/>
          <w:sz w:val="24"/>
          <w:szCs w:val="24"/>
          <w:u w:val="single"/>
        </w:rPr>
        <w:t>3</w:t>
      </w:r>
      <w:r w:rsidRPr="00F0146F">
        <w:rPr>
          <w:rFonts w:ascii="Times New Roman" w:hAnsi="Times New Roman"/>
          <w:sz w:val="24"/>
          <w:szCs w:val="24"/>
          <w:u w:val="single"/>
        </w:rPr>
        <w:t xml:space="preserve">. </w:t>
      </w:r>
      <w:r w:rsidRPr="00041B80">
        <w:rPr>
          <w:rFonts w:ascii="Times New Roman" w:hAnsi="Times New Roman"/>
          <w:sz w:val="24"/>
          <w:szCs w:val="24"/>
          <w:u w:val="single"/>
        </w:rPr>
        <w:t>Общества с ограниченной ответственностью</w:t>
      </w:r>
      <w:r>
        <w:rPr>
          <w:rFonts w:ascii="Times New Roman" w:hAnsi="Times New Roman"/>
          <w:sz w:val="24"/>
          <w:szCs w:val="24"/>
          <w:u w:val="single"/>
        </w:rPr>
        <w:t xml:space="preserve"> «СК Аган»;</w:t>
      </w:r>
    </w:p>
    <w:p w:rsidR="00F43EED" w:rsidRDefault="00F43EED" w:rsidP="00F43EED">
      <w:pPr>
        <w:pStyle w:val="afffff9"/>
        <w:rPr>
          <w:rFonts w:ascii="Times New Roman" w:hAnsi="Times New Roman"/>
          <w:sz w:val="24"/>
          <w:szCs w:val="24"/>
          <w:u w:val="single"/>
        </w:rPr>
      </w:pPr>
      <w:r>
        <w:rPr>
          <w:rFonts w:ascii="Times New Roman" w:hAnsi="Times New Roman"/>
          <w:sz w:val="24"/>
          <w:szCs w:val="24"/>
          <w:u w:val="single"/>
        </w:rPr>
        <w:t>4</w:t>
      </w:r>
      <w:bookmarkEnd w:id="0"/>
      <w:r w:rsidRPr="00F26468">
        <w:rPr>
          <w:rFonts w:ascii="Times New Roman" w:hAnsi="Times New Roman"/>
          <w:sz w:val="24"/>
          <w:szCs w:val="24"/>
          <w:u w:val="single"/>
        </w:rPr>
        <w:t>.Местной общественной татаро-башкирской организации «Курай»</w:t>
      </w:r>
      <w:r>
        <w:rPr>
          <w:rFonts w:ascii="Times New Roman" w:hAnsi="Times New Roman"/>
          <w:sz w:val="24"/>
          <w:szCs w:val="24"/>
          <w:u w:val="single"/>
        </w:rPr>
        <w:t>;</w:t>
      </w:r>
    </w:p>
    <w:p w:rsidR="00F43EED" w:rsidRDefault="00F43EED" w:rsidP="00F43EED">
      <w:pPr>
        <w:pStyle w:val="afffff9"/>
        <w:rPr>
          <w:rFonts w:ascii="Times New Roman" w:hAnsi="Times New Roman"/>
          <w:sz w:val="24"/>
          <w:szCs w:val="24"/>
          <w:u w:val="single"/>
        </w:rPr>
      </w:pPr>
      <w:r>
        <w:rPr>
          <w:rFonts w:ascii="Times New Roman" w:hAnsi="Times New Roman"/>
          <w:sz w:val="24"/>
          <w:szCs w:val="24"/>
          <w:u w:val="single"/>
        </w:rPr>
        <w:t>5. Местной общественной организации Нижневартовского района «Творческое объединение «Сотрудничество».</w:t>
      </w:r>
    </w:p>
    <w:p w:rsidR="009F795F" w:rsidRPr="009F795F" w:rsidRDefault="009F795F" w:rsidP="009F795F">
      <w:pPr>
        <w:jc w:val="both"/>
        <w:rPr>
          <w:sz w:val="24"/>
          <w:szCs w:val="24"/>
        </w:rPr>
      </w:pPr>
    </w:p>
    <w:p w:rsidR="009F795F" w:rsidRPr="009F795F" w:rsidRDefault="009F795F" w:rsidP="009F795F">
      <w:pPr>
        <w:rPr>
          <w:sz w:val="24"/>
          <w:szCs w:val="24"/>
        </w:rPr>
      </w:pPr>
      <w:r w:rsidRPr="009F795F">
        <w:rPr>
          <w:sz w:val="24"/>
          <w:szCs w:val="24"/>
        </w:rPr>
        <w:t>При проведении публичных консультаций получены отзывы от:</w:t>
      </w:r>
    </w:p>
    <w:p w:rsidR="00F43EED" w:rsidRPr="00041B80" w:rsidRDefault="00F43EED" w:rsidP="00F43EED">
      <w:pPr>
        <w:pStyle w:val="afffff9"/>
        <w:rPr>
          <w:rFonts w:ascii="Times New Roman" w:hAnsi="Times New Roman"/>
          <w:sz w:val="24"/>
          <w:szCs w:val="24"/>
          <w:u w:val="single"/>
        </w:rPr>
      </w:pPr>
      <w:r w:rsidRPr="00041B80">
        <w:rPr>
          <w:rFonts w:ascii="Times New Roman" w:hAnsi="Times New Roman"/>
          <w:sz w:val="24"/>
          <w:szCs w:val="24"/>
          <w:u w:val="single"/>
        </w:rPr>
        <w:t>1. Общественной организации Нижневартовского района «Ассоциация развития и поддержки малого и среднего бизнеса»;</w:t>
      </w:r>
    </w:p>
    <w:p w:rsidR="00F43EED" w:rsidRDefault="00F43EED" w:rsidP="00F43EED">
      <w:pPr>
        <w:pStyle w:val="afffff9"/>
        <w:rPr>
          <w:rFonts w:ascii="Times New Roman" w:hAnsi="Times New Roman"/>
          <w:sz w:val="24"/>
          <w:szCs w:val="24"/>
          <w:u w:val="single"/>
        </w:rPr>
      </w:pPr>
      <w:r>
        <w:rPr>
          <w:rFonts w:ascii="Times New Roman" w:hAnsi="Times New Roman"/>
          <w:sz w:val="24"/>
          <w:szCs w:val="24"/>
          <w:u w:val="single"/>
        </w:rPr>
        <w:t>2</w:t>
      </w:r>
      <w:r w:rsidRPr="00041B80">
        <w:rPr>
          <w:rFonts w:ascii="Times New Roman" w:hAnsi="Times New Roman"/>
          <w:sz w:val="24"/>
          <w:szCs w:val="24"/>
          <w:u w:val="single"/>
        </w:rPr>
        <w:t>. Общества с ограниченной ответственностью «</w:t>
      </w:r>
      <w:proofErr w:type="spellStart"/>
      <w:r>
        <w:rPr>
          <w:rFonts w:ascii="Times New Roman" w:hAnsi="Times New Roman"/>
          <w:sz w:val="24"/>
          <w:szCs w:val="24"/>
          <w:u w:val="single"/>
        </w:rPr>
        <w:t>Берегиня</w:t>
      </w:r>
      <w:proofErr w:type="spellEnd"/>
      <w:r w:rsidRPr="00041B80">
        <w:rPr>
          <w:rFonts w:ascii="Times New Roman" w:hAnsi="Times New Roman"/>
          <w:sz w:val="24"/>
          <w:szCs w:val="24"/>
          <w:u w:val="single"/>
        </w:rPr>
        <w:t>»;</w:t>
      </w:r>
    </w:p>
    <w:p w:rsidR="00F43EED" w:rsidRPr="00041B80" w:rsidRDefault="00F43EED" w:rsidP="00F43EED">
      <w:pPr>
        <w:pStyle w:val="afffff9"/>
        <w:rPr>
          <w:rFonts w:ascii="Times New Roman" w:hAnsi="Times New Roman"/>
          <w:sz w:val="24"/>
          <w:szCs w:val="24"/>
          <w:u w:val="single"/>
        </w:rPr>
      </w:pPr>
      <w:r>
        <w:rPr>
          <w:rFonts w:ascii="Times New Roman" w:hAnsi="Times New Roman"/>
          <w:sz w:val="24"/>
          <w:szCs w:val="24"/>
          <w:u w:val="single"/>
        </w:rPr>
        <w:t>3</w:t>
      </w:r>
      <w:r w:rsidRPr="00F0146F">
        <w:rPr>
          <w:rFonts w:ascii="Times New Roman" w:hAnsi="Times New Roman"/>
          <w:sz w:val="24"/>
          <w:szCs w:val="24"/>
          <w:u w:val="single"/>
        </w:rPr>
        <w:t xml:space="preserve">. </w:t>
      </w:r>
      <w:r w:rsidRPr="00041B80">
        <w:rPr>
          <w:rFonts w:ascii="Times New Roman" w:hAnsi="Times New Roman"/>
          <w:sz w:val="24"/>
          <w:szCs w:val="24"/>
          <w:u w:val="single"/>
        </w:rPr>
        <w:t>Общества с ограниченной ответственностью</w:t>
      </w:r>
      <w:r>
        <w:rPr>
          <w:rFonts w:ascii="Times New Roman" w:hAnsi="Times New Roman"/>
          <w:sz w:val="24"/>
          <w:szCs w:val="24"/>
          <w:u w:val="single"/>
        </w:rPr>
        <w:t xml:space="preserve"> «СК Аган»;</w:t>
      </w:r>
    </w:p>
    <w:p w:rsidR="00F43EED" w:rsidRDefault="00F43EED" w:rsidP="00F43EED">
      <w:pPr>
        <w:pStyle w:val="afffff9"/>
        <w:rPr>
          <w:rFonts w:ascii="Times New Roman" w:hAnsi="Times New Roman"/>
          <w:sz w:val="24"/>
          <w:szCs w:val="24"/>
          <w:u w:val="single"/>
        </w:rPr>
      </w:pPr>
      <w:r>
        <w:rPr>
          <w:rFonts w:ascii="Times New Roman" w:hAnsi="Times New Roman"/>
          <w:sz w:val="24"/>
          <w:szCs w:val="24"/>
          <w:u w:val="single"/>
        </w:rPr>
        <w:t>4</w:t>
      </w:r>
      <w:r w:rsidRPr="00F26468">
        <w:rPr>
          <w:rFonts w:ascii="Times New Roman" w:hAnsi="Times New Roman"/>
          <w:sz w:val="24"/>
          <w:szCs w:val="24"/>
          <w:u w:val="single"/>
        </w:rPr>
        <w:t>.Местной общественной татаро-башкирской организации «Курай»</w:t>
      </w:r>
      <w:r>
        <w:rPr>
          <w:rFonts w:ascii="Times New Roman" w:hAnsi="Times New Roman"/>
          <w:sz w:val="24"/>
          <w:szCs w:val="24"/>
          <w:u w:val="single"/>
        </w:rPr>
        <w:t>;</w:t>
      </w:r>
    </w:p>
    <w:p w:rsidR="00F43EED" w:rsidRDefault="00F43EED" w:rsidP="00F43EED">
      <w:pPr>
        <w:pStyle w:val="afffff9"/>
        <w:rPr>
          <w:rFonts w:ascii="Times New Roman" w:hAnsi="Times New Roman"/>
          <w:sz w:val="24"/>
          <w:szCs w:val="24"/>
          <w:u w:val="single"/>
        </w:rPr>
      </w:pPr>
      <w:r>
        <w:rPr>
          <w:rFonts w:ascii="Times New Roman" w:hAnsi="Times New Roman"/>
          <w:sz w:val="24"/>
          <w:szCs w:val="24"/>
          <w:u w:val="single"/>
        </w:rPr>
        <w:t>5. Местной общественной организации Нижневартовского района «Творческое объединение «Сотрудничество».</w:t>
      </w:r>
    </w:p>
    <w:p w:rsidR="009F795F" w:rsidRPr="009F795F" w:rsidRDefault="009F795F" w:rsidP="009F795F">
      <w:pPr>
        <w:rPr>
          <w:szCs w:val="20"/>
        </w:rPr>
      </w:pPr>
    </w:p>
    <w:p w:rsidR="009F795F" w:rsidRPr="009F795F" w:rsidRDefault="009F795F" w:rsidP="009F795F">
      <w:pPr>
        <w:jc w:val="both"/>
        <w:rPr>
          <w:sz w:val="24"/>
          <w:szCs w:val="24"/>
        </w:rPr>
      </w:pPr>
      <w:r w:rsidRPr="009F795F">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9F795F" w:rsidRDefault="009F795F" w:rsidP="009F795F">
      <w:pPr>
        <w:jc w:val="both"/>
        <w:rPr>
          <w:sz w:val="24"/>
          <w:szCs w:val="24"/>
        </w:rPr>
      </w:pPr>
    </w:p>
    <w:p w:rsidR="001E498F" w:rsidRDefault="001E498F" w:rsidP="009F795F">
      <w:pPr>
        <w:jc w:val="both"/>
        <w:rPr>
          <w:sz w:val="24"/>
          <w:szCs w:val="24"/>
        </w:rPr>
      </w:pPr>
    </w:p>
    <w:p w:rsidR="001E498F" w:rsidRPr="009F795F" w:rsidRDefault="001E498F" w:rsidP="009F795F">
      <w:pPr>
        <w:jc w:val="both"/>
        <w:rPr>
          <w:sz w:val="24"/>
          <w:szCs w:val="24"/>
        </w:rPr>
      </w:pPr>
    </w:p>
    <w:p w:rsidR="009F795F" w:rsidRPr="009F795F" w:rsidRDefault="009F795F" w:rsidP="009F795F">
      <w:pPr>
        <w:jc w:val="center"/>
        <w:rPr>
          <w:b/>
          <w:sz w:val="24"/>
          <w:szCs w:val="24"/>
        </w:rPr>
      </w:pPr>
      <w:r w:rsidRPr="009F795F">
        <w:rPr>
          <w:b/>
          <w:sz w:val="24"/>
          <w:szCs w:val="24"/>
        </w:rPr>
        <w:t>Таблица результатов публичных консультаций</w:t>
      </w:r>
    </w:p>
    <w:p w:rsidR="009F795F" w:rsidRPr="009F795F" w:rsidRDefault="009F795F" w:rsidP="009F795F">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56"/>
        <w:gridCol w:w="3182"/>
      </w:tblGrid>
      <w:tr w:rsidR="009F795F" w:rsidRPr="00F43EED" w:rsidTr="00DC317F">
        <w:tc>
          <w:tcPr>
            <w:tcW w:w="9527" w:type="dxa"/>
            <w:gridSpan w:val="3"/>
            <w:shd w:val="clear" w:color="auto" w:fill="auto"/>
          </w:tcPr>
          <w:p w:rsidR="009F795F" w:rsidRPr="00F43EED" w:rsidRDefault="009F795F" w:rsidP="009F795F">
            <w:pPr>
              <w:jc w:val="center"/>
              <w:rPr>
                <w:sz w:val="24"/>
                <w:szCs w:val="24"/>
              </w:rPr>
            </w:pPr>
            <w:r w:rsidRPr="00F43EED">
              <w:rPr>
                <w:sz w:val="24"/>
                <w:szCs w:val="24"/>
              </w:rPr>
              <w:t>Результаты публичных консультаций</w:t>
            </w:r>
          </w:p>
        </w:tc>
      </w:tr>
      <w:tr w:rsidR="009F795F" w:rsidRPr="00F43EED" w:rsidTr="00DC317F">
        <w:tc>
          <w:tcPr>
            <w:tcW w:w="2689" w:type="dxa"/>
            <w:shd w:val="clear" w:color="auto" w:fill="auto"/>
          </w:tcPr>
          <w:p w:rsidR="009F795F" w:rsidRPr="00F43EED" w:rsidRDefault="009F795F" w:rsidP="009F795F">
            <w:pPr>
              <w:jc w:val="center"/>
              <w:rPr>
                <w:sz w:val="24"/>
                <w:szCs w:val="24"/>
              </w:rPr>
            </w:pPr>
            <w:r w:rsidRPr="00F43EED">
              <w:rPr>
                <w:sz w:val="24"/>
                <w:szCs w:val="24"/>
              </w:rPr>
              <w:t xml:space="preserve">Наименование субъекта публичных </w:t>
            </w:r>
          </w:p>
          <w:p w:rsidR="009F795F" w:rsidRPr="00F43EED" w:rsidRDefault="009F795F" w:rsidP="009F795F">
            <w:pPr>
              <w:jc w:val="center"/>
              <w:rPr>
                <w:sz w:val="24"/>
                <w:szCs w:val="24"/>
              </w:rPr>
            </w:pPr>
            <w:r w:rsidRPr="00F43EED">
              <w:rPr>
                <w:sz w:val="24"/>
                <w:szCs w:val="24"/>
              </w:rPr>
              <w:t>консультаций</w:t>
            </w:r>
          </w:p>
        </w:tc>
        <w:tc>
          <w:tcPr>
            <w:tcW w:w="3656" w:type="dxa"/>
            <w:shd w:val="clear" w:color="auto" w:fill="auto"/>
          </w:tcPr>
          <w:p w:rsidR="009F795F" w:rsidRPr="00F43EED" w:rsidRDefault="009F795F" w:rsidP="009F795F">
            <w:pPr>
              <w:jc w:val="center"/>
              <w:rPr>
                <w:sz w:val="24"/>
                <w:szCs w:val="24"/>
              </w:rPr>
            </w:pPr>
            <w:r w:rsidRPr="00F43EED">
              <w:rPr>
                <w:sz w:val="24"/>
                <w:szCs w:val="24"/>
              </w:rPr>
              <w:t>Высказанное мнение</w:t>
            </w:r>
          </w:p>
          <w:p w:rsidR="009F795F" w:rsidRPr="00F43EED" w:rsidRDefault="009F795F" w:rsidP="009F795F">
            <w:pPr>
              <w:jc w:val="center"/>
              <w:rPr>
                <w:sz w:val="24"/>
                <w:szCs w:val="24"/>
              </w:rPr>
            </w:pPr>
            <w:r w:rsidRPr="00F43EED">
              <w:rPr>
                <w:sz w:val="24"/>
                <w:szCs w:val="24"/>
              </w:rPr>
              <w:t>(замечания и (или) предложения)</w:t>
            </w:r>
          </w:p>
        </w:tc>
        <w:tc>
          <w:tcPr>
            <w:tcW w:w="3182" w:type="dxa"/>
            <w:shd w:val="clear" w:color="auto" w:fill="auto"/>
            <w:vAlign w:val="center"/>
          </w:tcPr>
          <w:p w:rsidR="009F795F" w:rsidRPr="00F43EED" w:rsidRDefault="009F795F" w:rsidP="009F795F">
            <w:pPr>
              <w:jc w:val="center"/>
              <w:rPr>
                <w:sz w:val="24"/>
                <w:szCs w:val="24"/>
              </w:rPr>
            </w:pPr>
            <w:r w:rsidRPr="00F43EED">
              <w:rPr>
                <w:sz w:val="24"/>
                <w:szCs w:val="24"/>
              </w:rPr>
              <w:t>Позиция</w:t>
            </w:r>
            <w:r w:rsidRPr="00F43EED">
              <w:rPr>
                <w:sz w:val="24"/>
                <w:szCs w:val="24"/>
              </w:rPr>
              <w:br/>
              <w:t>регулирующего   органа или органа, осуществляющего муниципальных нормативных правовых актов</w:t>
            </w:r>
          </w:p>
          <w:p w:rsidR="009F795F" w:rsidRPr="00F43EED" w:rsidRDefault="009F795F" w:rsidP="009F795F">
            <w:pPr>
              <w:jc w:val="center"/>
              <w:rPr>
                <w:sz w:val="24"/>
                <w:szCs w:val="24"/>
              </w:rPr>
            </w:pPr>
            <w:r w:rsidRPr="00F43EED">
              <w:rPr>
                <w:sz w:val="24"/>
                <w:szCs w:val="24"/>
              </w:rPr>
              <w:t>(с обоснованием позиции)</w:t>
            </w:r>
          </w:p>
        </w:tc>
      </w:tr>
      <w:tr w:rsidR="00F43EED" w:rsidRPr="00F43EED" w:rsidTr="00B948AA">
        <w:tc>
          <w:tcPr>
            <w:tcW w:w="2689" w:type="dxa"/>
            <w:shd w:val="clear" w:color="auto" w:fill="auto"/>
          </w:tcPr>
          <w:p w:rsidR="00F43EED" w:rsidRPr="00F43EED" w:rsidRDefault="00F43EED" w:rsidP="00B948AA">
            <w:pPr>
              <w:pStyle w:val="afffff9"/>
              <w:rPr>
                <w:rFonts w:ascii="Times New Roman" w:hAnsi="Times New Roman"/>
                <w:sz w:val="24"/>
                <w:szCs w:val="24"/>
              </w:rPr>
            </w:pPr>
            <w:r w:rsidRPr="00F43EED">
              <w:rPr>
                <w:rFonts w:ascii="Times New Roman" w:hAnsi="Times New Roman"/>
                <w:sz w:val="24"/>
                <w:szCs w:val="24"/>
              </w:rPr>
              <w:lastRenderedPageBreak/>
              <w:t>Общественной организации Нижневартовского района «Ассоциация развития и поддержки малого и среднего бизнеса»</w:t>
            </w:r>
          </w:p>
          <w:p w:rsidR="00F43EED" w:rsidRPr="00F43EED" w:rsidRDefault="00F43EED" w:rsidP="00B948AA">
            <w:pPr>
              <w:pStyle w:val="afffff9"/>
              <w:rPr>
                <w:rFonts w:ascii="Times New Roman" w:hAnsi="Times New Roman"/>
                <w:sz w:val="24"/>
                <w:szCs w:val="24"/>
              </w:rPr>
            </w:pPr>
          </w:p>
          <w:p w:rsidR="00F43EED" w:rsidRPr="00F43EED" w:rsidRDefault="00F43EED" w:rsidP="00B948AA">
            <w:pPr>
              <w:jc w:val="both"/>
              <w:rPr>
                <w:sz w:val="24"/>
                <w:szCs w:val="24"/>
              </w:rPr>
            </w:pPr>
            <w:r w:rsidRPr="00F43EED">
              <w:rPr>
                <w:sz w:val="24"/>
                <w:szCs w:val="24"/>
              </w:rPr>
              <w:t xml:space="preserve">Отзыв поступил через сайт </w:t>
            </w:r>
            <w:hyperlink r:id="rId8" w:history="1">
              <w:r w:rsidRPr="00F43EED">
                <w:rPr>
                  <w:rStyle w:val="af9"/>
                  <w:sz w:val="24"/>
                  <w:szCs w:val="24"/>
                </w:rPr>
                <w:t>http://www.regulation.admhmao.ru/</w:t>
              </w:r>
            </w:hyperlink>
          </w:p>
        </w:tc>
        <w:tc>
          <w:tcPr>
            <w:tcW w:w="3656" w:type="dxa"/>
            <w:shd w:val="clear" w:color="auto" w:fill="auto"/>
          </w:tcPr>
          <w:p w:rsidR="00F43EED" w:rsidRPr="00F43EED" w:rsidRDefault="00F43EED" w:rsidP="00F43EED">
            <w:pPr>
              <w:jc w:val="both"/>
              <w:rPr>
                <w:sz w:val="24"/>
                <w:szCs w:val="24"/>
              </w:rPr>
            </w:pPr>
            <w:r w:rsidRPr="00F43EED">
              <w:rPr>
                <w:sz w:val="24"/>
                <w:szCs w:val="24"/>
              </w:rPr>
              <w:t>Замечания отсутствуют.</w:t>
            </w:r>
          </w:p>
          <w:p w:rsidR="00F43EED" w:rsidRPr="00F43EED" w:rsidRDefault="00F43EED" w:rsidP="00F43EED">
            <w:pPr>
              <w:jc w:val="both"/>
              <w:rPr>
                <w:sz w:val="24"/>
                <w:szCs w:val="24"/>
              </w:rPr>
            </w:pPr>
            <w:r w:rsidRPr="00F43EED">
              <w:rPr>
                <w:sz w:val="24"/>
                <w:szCs w:val="24"/>
              </w:rPr>
              <w:t>Предложения отсутствуют</w:t>
            </w:r>
          </w:p>
        </w:tc>
        <w:tc>
          <w:tcPr>
            <w:tcW w:w="3182" w:type="dxa"/>
            <w:shd w:val="clear" w:color="auto" w:fill="auto"/>
          </w:tcPr>
          <w:p w:rsidR="00F43EED" w:rsidRPr="00F43EED" w:rsidRDefault="00F43EED" w:rsidP="00B948AA">
            <w:pPr>
              <w:jc w:val="both"/>
              <w:rPr>
                <w:sz w:val="24"/>
                <w:szCs w:val="24"/>
              </w:rPr>
            </w:pPr>
          </w:p>
        </w:tc>
      </w:tr>
      <w:tr w:rsidR="00F43EED" w:rsidRPr="00F43EED" w:rsidTr="00B948AA">
        <w:tc>
          <w:tcPr>
            <w:tcW w:w="2689" w:type="dxa"/>
            <w:shd w:val="clear" w:color="auto" w:fill="auto"/>
          </w:tcPr>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Общества с ограниченной ответственностью «</w:t>
            </w:r>
            <w:proofErr w:type="spellStart"/>
            <w:r w:rsidRPr="00F43EED">
              <w:rPr>
                <w:rFonts w:ascii="Times New Roman" w:hAnsi="Times New Roman"/>
                <w:sz w:val="24"/>
                <w:szCs w:val="24"/>
              </w:rPr>
              <w:t>Берегиня</w:t>
            </w:r>
            <w:proofErr w:type="spellEnd"/>
            <w:r w:rsidRPr="00F43EED">
              <w:rPr>
                <w:rFonts w:ascii="Times New Roman" w:hAnsi="Times New Roman"/>
                <w:sz w:val="24"/>
                <w:szCs w:val="24"/>
              </w:rPr>
              <w:t>»</w:t>
            </w:r>
          </w:p>
          <w:p w:rsidR="00F43EED" w:rsidRPr="00F43EED" w:rsidRDefault="00F43EED" w:rsidP="00B948AA">
            <w:pPr>
              <w:pStyle w:val="afffff9"/>
              <w:jc w:val="both"/>
              <w:rPr>
                <w:rFonts w:ascii="Times New Roman" w:hAnsi="Times New Roman"/>
                <w:sz w:val="24"/>
                <w:szCs w:val="24"/>
              </w:rPr>
            </w:pPr>
          </w:p>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 xml:space="preserve">Отзыв поступил через сайт </w:t>
            </w:r>
            <w:hyperlink r:id="rId9" w:history="1">
              <w:r w:rsidRPr="00F43EED">
                <w:rPr>
                  <w:rStyle w:val="af9"/>
                  <w:rFonts w:ascii="Times New Roman" w:hAnsi="Times New Roman"/>
                  <w:sz w:val="24"/>
                  <w:szCs w:val="24"/>
                </w:rPr>
                <w:t>http://www.regulation.admhmao.ru/</w:t>
              </w:r>
            </w:hyperlink>
          </w:p>
        </w:tc>
        <w:tc>
          <w:tcPr>
            <w:tcW w:w="3656" w:type="dxa"/>
            <w:shd w:val="clear" w:color="auto" w:fill="auto"/>
          </w:tcPr>
          <w:p w:rsidR="00F43EED" w:rsidRPr="00F43EED" w:rsidRDefault="00F43EED" w:rsidP="00B948AA">
            <w:pPr>
              <w:jc w:val="both"/>
              <w:rPr>
                <w:sz w:val="24"/>
                <w:szCs w:val="24"/>
              </w:rPr>
            </w:pPr>
            <w:r w:rsidRPr="00F43EED">
              <w:rPr>
                <w:sz w:val="24"/>
                <w:szCs w:val="24"/>
              </w:rPr>
              <w:t>Замечания отсутствуют.</w:t>
            </w:r>
          </w:p>
          <w:p w:rsidR="00F43EED" w:rsidRPr="00F43EED" w:rsidRDefault="00F43EED" w:rsidP="00B948AA">
            <w:pPr>
              <w:jc w:val="both"/>
              <w:rPr>
                <w:sz w:val="24"/>
                <w:szCs w:val="24"/>
              </w:rPr>
            </w:pPr>
            <w:r w:rsidRPr="00F43EED">
              <w:rPr>
                <w:sz w:val="24"/>
                <w:szCs w:val="24"/>
              </w:rPr>
              <w:t>Предложения отсутствуют</w:t>
            </w:r>
          </w:p>
        </w:tc>
        <w:tc>
          <w:tcPr>
            <w:tcW w:w="3182" w:type="dxa"/>
            <w:shd w:val="clear" w:color="auto" w:fill="auto"/>
          </w:tcPr>
          <w:p w:rsidR="00F43EED" w:rsidRPr="00F43EED" w:rsidRDefault="00F43EED" w:rsidP="00B948AA">
            <w:pPr>
              <w:jc w:val="both"/>
              <w:rPr>
                <w:sz w:val="24"/>
                <w:szCs w:val="24"/>
              </w:rPr>
            </w:pPr>
          </w:p>
        </w:tc>
      </w:tr>
      <w:tr w:rsidR="00F43EED" w:rsidRPr="00F43EED" w:rsidTr="00B948AA">
        <w:tc>
          <w:tcPr>
            <w:tcW w:w="2689" w:type="dxa"/>
            <w:shd w:val="clear" w:color="auto" w:fill="auto"/>
          </w:tcPr>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Общества с ограниченной ответственностью «СК Аган»</w:t>
            </w:r>
          </w:p>
          <w:p w:rsidR="00F43EED" w:rsidRPr="00F43EED" w:rsidRDefault="00F43EED" w:rsidP="00B948AA">
            <w:pPr>
              <w:pStyle w:val="afffff9"/>
              <w:jc w:val="both"/>
              <w:rPr>
                <w:rFonts w:ascii="Times New Roman" w:hAnsi="Times New Roman"/>
                <w:sz w:val="24"/>
                <w:szCs w:val="24"/>
              </w:rPr>
            </w:pPr>
          </w:p>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 xml:space="preserve">Отзыв поступил через сайт </w:t>
            </w:r>
            <w:hyperlink r:id="rId10" w:history="1">
              <w:r w:rsidRPr="00F43EED">
                <w:rPr>
                  <w:rStyle w:val="af9"/>
                  <w:rFonts w:ascii="Times New Roman" w:hAnsi="Times New Roman"/>
                  <w:sz w:val="24"/>
                  <w:szCs w:val="24"/>
                </w:rPr>
                <w:t>http://www.regulation.admhmao.ru/</w:t>
              </w:r>
            </w:hyperlink>
          </w:p>
        </w:tc>
        <w:tc>
          <w:tcPr>
            <w:tcW w:w="3656" w:type="dxa"/>
            <w:shd w:val="clear" w:color="auto" w:fill="auto"/>
          </w:tcPr>
          <w:p w:rsidR="00F43EED" w:rsidRPr="00F43EED" w:rsidRDefault="00F43EED" w:rsidP="00F43EED">
            <w:pPr>
              <w:jc w:val="both"/>
              <w:rPr>
                <w:sz w:val="24"/>
                <w:szCs w:val="24"/>
              </w:rPr>
            </w:pPr>
            <w:r w:rsidRPr="00F43EED">
              <w:rPr>
                <w:sz w:val="24"/>
                <w:szCs w:val="24"/>
              </w:rPr>
              <w:t>Замечания отсутствуют.</w:t>
            </w:r>
          </w:p>
          <w:p w:rsidR="00F43EED" w:rsidRPr="00F43EED" w:rsidRDefault="00F43EED" w:rsidP="00F43EED">
            <w:pPr>
              <w:jc w:val="both"/>
              <w:rPr>
                <w:sz w:val="24"/>
                <w:szCs w:val="24"/>
              </w:rPr>
            </w:pPr>
            <w:r w:rsidRPr="00F43EED">
              <w:rPr>
                <w:sz w:val="24"/>
                <w:szCs w:val="24"/>
              </w:rPr>
              <w:t>Предложения отсутствуют</w:t>
            </w:r>
          </w:p>
        </w:tc>
        <w:tc>
          <w:tcPr>
            <w:tcW w:w="3182" w:type="dxa"/>
            <w:shd w:val="clear" w:color="auto" w:fill="auto"/>
          </w:tcPr>
          <w:p w:rsidR="00F43EED" w:rsidRPr="00F43EED" w:rsidRDefault="00F43EED" w:rsidP="00F43EED">
            <w:pPr>
              <w:contextualSpacing/>
              <w:rPr>
                <w:sz w:val="24"/>
                <w:szCs w:val="24"/>
              </w:rPr>
            </w:pPr>
          </w:p>
        </w:tc>
      </w:tr>
      <w:tr w:rsidR="00F43EED" w:rsidRPr="00F43EED" w:rsidTr="00B948AA">
        <w:tc>
          <w:tcPr>
            <w:tcW w:w="2689" w:type="dxa"/>
            <w:shd w:val="clear" w:color="auto" w:fill="auto"/>
          </w:tcPr>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Местной общественной татаро-башкирской организации «Курай»</w:t>
            </w:r>
          </w:p>
          <w:p w:rsidR="00F43EED" w:rsidRPr="00F43EED" w:rsidRDefault="00F43EED" w:rsidP="00B948AA">
            <w:pPr>
              <w:pStyle w:val="afffff9"/>
              <w:jc w:val="both"/>
              <w:rPr>
                <w:rFonts w:ascii="Times New Roman" w:hAnsi="Times New Roman"/>
                <w:sz w:val="24"/>
                <w:szCs w:val="24"/>
              </w:rPr>
            </w:pPr>
          </w:p>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 xml:space="preserve">Отзыв поступил через сайт </w:t>
            </w:r>
            <w:hyperlink r:id="rId11" w:history="1">
              <w:r w:rsidRPr="00F43EED">
                <w:rPr>
                  <w:rStyle w:val="af9"/>
                  <w:rFonts w:ascii="Times New Roman" w:hAnsi="Times New Roman"/>
                  <w:sz w:val="24"/>
                  <w:szCs w:val="24"/>
                </w:rPr>
                <w:t>http://www.regulation.admhmao.ru/</w:t>
              </w:r>
            </w:hyperlink>
          </w:p>
        </w:tc>
        <w:tc>
          <w:tcPr>
            <w:tcW w:w="3656" w:type="dxa"/>
            <w:shd w:val="clear" w:color="auto" w:fill="auto"/>
          </w:tcPr>
          <w:p w:rsidR="00F43EED" w:rsidRPr="00F43EED" w:rsidRDefault="00F43EED" w:rsidP="00F43EED">
            <w:pPr>
              <w:jc w:val="both"/>
              <w:rPr>
                <w:sz w:val="24"/>
                <w:szCs w:val="24"/>
              </w:rPr>
            </w:pPr>
            <w:r w:rsidRPr="00F43EED">
              <w:rPr>
                <w:sz w:val="24"/>
                <w:szCs w:val="24"/>
              </w:rPr>
              <w:t>Замечания отсутствуют.</w:t>
            </w:r>
          </w:p>
          <w:p w:rsidR="00F43EED" w:rsidRPr="00F43EED" w:rsidRDefault="00F43EED" w:rsidP="00F43EED">
            <w:pPr>
              <w:jc w:val="both"/>
              <w:rPr>
                <w:sz w:val="24"/>
                <w:szCs w:val="24"/>
              </w:rPr>
            </w:pPr>
            <w:r w:rsidRPr="00F43EED">
              <w:rPr>
                <w:sz w:val="24"/>
                <w:szCs w:val="24"/>
              </w:rPr>
              <w:t>Предложения отсутствуют</w:t>
            </w:r>
            <w:r w:rsidRPr="00F43EED">
              <w:rPr>
                <w:sz w:val="24"/>
                <w:szCs w:val="24"/>
              </w:rPr>
              <w:t xml:space="preserve"> </w:t>
            </w:r>
          </w:p>
        </w:tc>
        <w:tc>
          <w:tcPr>
            <w:tcW w:w="3182" w:type="dxa"/>
            <w:shd w:val="clear" w:color="auto" w:fill="auto"/>
          </w:tcPr>
          <w:p w:rsidR="00F43EED" w:rsidRPr="00F43EED" w:rsidRDefault="00F43EED" w:rsidP="00B948AA">
            <w:pPr>
              <w:jc w:val="both"/>
              <w:rPr>
                <w:sz w:val="24"/>
                <w:szCs w:val="24"/>
              </w:rPr>
            </w:pPr>
          </w:p>
        </w:tc>
      </w:tr>
      <w:tr w:rsidR="00F43EED" w:rsidRPr="00F43EED" w:rsidTr="00B948AA">
        <w:tc>
          <w:tcPr>
            <w:tcW w:w="2689" w:type="dxa"/>
            <w:shd w:val="clear" w:color="auto" w:fill="auto"/>
          </w:tcPr>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Местной общественной организации Нижневартовского района «Творческое объединение «Сотрудничество»</w:t>
            </w:r>
          </w:p>
          <w:p w:rsidR="00F43EED" w:rsidRPr="00F43EED" w:rsidRDefault="00F43EED" w:rsidP="00B948AA">
            <w:pPr>
              <w:pStyle w:val="afffff9"/>
              <w:jc w:val="both"/>
              <w:rPr>
                <w:rFonts w:ascii="Times New Roman" w:hAnsi="Times New Roman"/>
                <w:sz w:val="24"/>
                <w:szCs w:val="24"/>
              </w:rPr>
            </w:pPr>
          </w:p>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 xml:space="preserve">Отзыв поступил через сайт </w:t>
            </w:r>
            <w:hyperlink r:id="rId12" w:history="1">
              <w:r w:rsidRPr="00F43EED">
                <w:rPr>
                  <w:rStyle w:val="af9"/>
                  <w:rFonts w:ascii="Times New Roman" w:hAnsi="Times New Roman"/>
                  <w:sz w:val="24"/>
                  <w:szCs w:val="24"/>
                </w:rPr>
                <w:t>http://www.regulation.admhmao.ru/</w:t>
              </w:r>
            </w:hyperlink>
          </w:p>
        </w:tc>
        <w:tc>
          <w:tcPr>
            <w:tcW w:w="3656" w:type="dxa"/>
            <w:shd w:val="clear" w:color="auto" w:fill="auto"/>
          </w:tcPr>
          <w:p w:rsidR="00F43EED" w:rsidRPr="00F43EED" w:rsidRDefault="00F43EED" w:rsidP="00B948AA">
            <w:pPr>
              <w:jc w:val="both"/>
              <w:rPr>
                <w:sz w:val="24"/>
                <w:szCs w:val="24"/>
              </w:rPr>
            </w:pPr>
            <w:r w:rsidRPr="00F43EED">
              <w:rPr>
                <w:sz w:val="24"/>
                <w:szCs w:val="24"/>
              </w:rPr>
              <w:t>Замечания отсутствуют.</w:t>
            </w:r>
          </w:p>
          <w:p w:rsidR="00F43EED" w:rsidRPr="00F43EED" w:rsidRDefault="00F43EED" w:rsidP="00B948AA">
            <w:pPr>
              <w:jc w:val="both"/>
              <w:rPr>
                <w:sz w:val="24"/>
                <w:szCs w:val="24"/>
              </w:rPr>
            </w:pPr>
            <w:r w:rsidRPr="00F43EED">
              <w:rPr>
                <w:sz w:val="24"/>
                <w:szCs w:val="24"/>
              </w:rPr>
              <w:t xml:space="preserve">Предложение: Приложения 3 к муниципальной программе «Культурное пространство Нижневартовского района» «Субсидия перечисляется Управлением в течение 10 рабочих дней с даты предоставления учреждением документов, указанных в абзаце втором настоящего пункта» необходимо изложить в новой редакции «Субсидия перечисляется Управлением в течение 10 рабочих дней с даты предоставления учреждением документов, указанных в пункте 2.1», так как пункта 2.14 не </w:t>
            </w:r>
            <w:r w:rsidRPr="00F43EED">
              <w:rPr>
                <w:sz w:val="24"/>
                <w:szCs w:val="24"/>
              </w:rPr>
              <w:lastRenderedPageBreak/>
              <w:t>существует, а документы, которые нужно предоставить учреждению, перечислены в пункте 2.1.</w:t>
            </w:r>
          </w:p>
        </w:tc>
        <w:tc>
          <w:tcPr>
            <w:tcW w:w="3182" w:type="dxa"/>
            <w:shd w:val="clear" w:color="auto" w:fill="auto"/>
          </w:tcPr>
          <w:p w:rsidR="00F43EED" w:rsidRPr="00F43EED" w:rsidRDefault="00F43EED" w:rsidP="00F43EED">
            <w:pPr>
              <w:jc w:val="both"/>
              <w:rPr>
                <w:sz w:val="24"/>
                <w:szCs w:val="24"/>
              </w:rPr>
            </w:pPr>
            <w:r w:rsidRPr="00F43EED">
              <w:rPr>
                <w:sz w:val="24"/>
                <w:szCs w:val="24"/>
              </w:rPr>
              <w:lastRenderedPageBreak/>
              <w:t>Предложение учтено</w:t>
            </w:r>
            <w:r>
              <w:rPr>
                <w:sz w:val="24"/>
                <w:szCs w:val="24"/>
              </w:rPr>
              <w:t>.</w:t>
            </w:r>
            <w:bookmarkStart w:id="1" w:name="_GoBack"/>
            <w:bookmarkEnd w:id="1"/>
          </w:p>
        </w:tc>
      </w:tr>
    </w:tbl>
    <w:p w:rsidR="009F795F" w:rsidRPr="009F795F" w:rsidRDefault="009F795F" w:rsidP="009F795F">
      <w:pPr>
        <w:jc w:val="both"/>
        <w:rPr>
          <w:sz w:val="24"/>
          <w:szCs w:val="24"/>
        </w:rPr>
      </w:pPr>
    </w:p>
    <w:p w:rsidR="009F795F" w:rsidRPr="009F795F" w:rsidRDefault="009F795F" w:rsidP="009F795F">
      <w:pPr>
        <w:jc w:val="both"/>
        <w:rPr>
          <w:sz w:val="24"/>
          <w:szCs w:val="24"/>
        </w:rPr>
      </w:pPr>
      <w:r w:rsidRPr="009F795F">
        <w:rPr>
          <w:sz w:val="24"/>
          <w:szCs w:val="24"/>
        </w:rPr>
        <w:t>Приложение:</w:t>
      </w:r>
    </w:p>
    <w:p w:rsidR="009F795F" w:rsidRPr="009F795F" w:rsidRDefault="009F795F" w:rsidP="009F795F">
      <w:pPr>
        <w:jc w:val="both"/>
        <w:rPr>
          <w:sz w:val="24"/>
          <w:szCs w:val="24"/>
        </w:rPr>
      </w:pPr>
      <w:r w:rsidRPr="009F795F">
        <w:rPr>
          <w:sz w:val="24"/>
          <w:szCs w:val="24"/>
        </w:rPr>
        <w:t>1. Текст скорректированного по итогам публичных консультаций муниципального нормативного правового акта (проекта).</w:t>
      </w:r>
    </w:p>
    <w:p w:rsidR="009F795F" w:rsidRPr="009F795F" w:rsidRDefault="009F795F" w:rsidP="009F795F">
      <w:pPr>
        <w:jc w:val="both"/>
        <w:rPr>
          <w:sz w:val="24"/>
          <w:szCs w:val="24"/>
        </w:rPr>
      </w:pPr>
      <w:r w:rsidRPr="009F795F">
        <w:rPr>
          <w:sz w:val="24"/>
          <w:szCs w:val="24"/>
        </w:rPr>
        <w:t>2. Копии отзывов участников публичных консультаций.</w:t>
      </w:r>
    </w:p>
    <w:p w:rsidR="009F795F" w:rsidRPr="009F795F" w:rsidRDefault="009F795F" w:rsidP="009F795F">
      <w:pPr>
        <w:spacing w:line="360" w:lineRule="auto"/>
        <w:jc w:val="both"/>
        <w:rPr>
          <w:szCs w:val="20"/>
        </w:rPr>
      </w:pPr>
    </w:p>
    <w:p w:rsidR="009F795F" w:rsidRPr="009F795F" w:rsidRDefault="009F795F" w:rsidP="009F795F">
      <w:pPr>
        <w:spacing w:line="360" w:lineRule="auto"/>
        <w:jc w:val="both"/>
        <w:rPr>
          <w:szCs w:val="20"/>
        </w:rPr>
      </w:pPr>
    </w:p>
    <w:p w:rsidR="009F795F" w:rsidRPr="009F795F" w:rsidRDefault="009F795F" w:rsidP="00C07035">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r w:rsidR="00BD7D1E">
        <w:rPr>
          <w:sz w:val="24"/>
          <w:szCs w:val="24"/>
        </w:rPr>
        <w:lastRenderedPageBreak/>
        <w:t xml:space="preserve">        </w:t>
      </w:r>
      <w:r w:rsidR="00C07035" w:rsidRPr="009F795F">
        <w:rPr>
          <w:rFonts w:ascii="Calibri" w:eastAsia="Calibri" w:hAnsi="Calibri"/>
          <w:sz w:val="22"/>
          <w:szCs w:val="22"/>
          <w:lang w:eastAsia="en-US"/>
        </w:rPr>
        <w:t xml:space="preserve"> </w:t>
      </w:r>
    </w:p>
    <w:p w:rsidR="00226643" w:rsidRDefault="00226643" w:rsidP="00E86C28">
      <w:pPr>
        <w:adjustRightInd w:val="0"/>
        <w:jc w:val="both"/>
        <w:outlineLvl w:val="0"/>
        <w:rPr>
          <w:szCs w:val="20"/>
        </w:rPr>
      </w:pPr>
    </w:p>
    <w:sectPr w:rsidR="00226643" w:rsidSect="00C07035">
      <w:headerReference w:type="default" r:id="rId13"/>
      <w:pgSz w:w="11906" w:h="16838"/>
      <w:pgMar w:top="0" w:right="567" w:bottom="568" w:left="1701" w:header="397" w:footer="39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C5" w:rsidRDefault="002376C5">
      <w:r>
        <w:separator/>
      </w:r>
    </w:p>
  </w:endnote>
  <w:endnote w:type="continuationSeparator" w:id="0">
    <w:p w:rsidR="002376C5" w:rsidRDefault="0023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roman"/>
    <w:pitch w:val="variable"/>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C5" w:rsidRDefault="002376C5">
      <w:r>
        <w:separator/>
      </w:r>
    </w:p>
  </w:footnote>
  <w:footnote w:type="continuationSeparator" w:id="0">
    <w:p w:rsidR="002376C5" w:rsidRDefault="0023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23C"/>
    <w:rsid w:val="001F49E1"/>
    <w:rsid w:val="001F55FB"/>
    <w:rsid w:val="001F57F1"/>
    <w:rsid w:val="002006CC"/>
    <w:rsid w:val="00201DD7"/>
    <w:rsid w:val="00202C09"/>
    <w:rsid w:val="00202CCD"/>
    <w:rsid w:val="002049E2"/>
    <w:rsid w:val="0020543B"/>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6C5"/>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5265"/>
    <w:rsid w:val="00456121"/>
    <w:rsid w:val="004574BE"/>
    <w:rsid w:val="004639AE"/>
    <w:rsid w:val="00463A57"/>
    <w:rsid w:val="0046726F"/>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2AF3"/>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5CB8"/>
    <w:rsid w:val="00BA616A"/>
    <w:rsid w:val="00BA79D8"/>
    <w:rsid w:val="00BA7F22"/>
    <w:rsid w:val="00BB00B7"/>
    <w:rsid w:val="00BB2131"/>
    <w:rsid w:val="00BB47B0"/>
    <w:rsid w:val="00BB496F"/>
    <w:rsid w:val="00BB6C61"/>
    <w:rsid w:val="00BB787A"/>
    <w:rsid w:val="00BC1C5A"/>
    <w:rsid w:val="00BD10AD"/>
    <w:rsid w:val="00BD16C6"/>
    <w:rsid w:val="00BD1718"/>
    <w:rsid w:val="00BD17EE"/>
    <w:rsid w:val="00BD322D"/>
    <w:rsid w:val="00BD4EED"/>
    <w:rsid w:val="00BD6577"/>
    <w:rsid w:val="00BD7D1E"/>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035"/>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17E9A"/>
    <w:rsid w:val="00D20B23"/>
    <w:rsid w:val="00D21AF6"/>
    <w:rsid w:val="00D21DC6"/>
    <w:rsid w:val="00D23F6D"/>
    <w:rsid w:val="00D244B7"/>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20542"/>
    <w:rsid w:val="00E215BD"/>
    <w:rsid w:val="00E22309"/>
    <w:rsid w:val="00E22FDE"/>
    <w:rsid w:val="00E24A37"/>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EED"/>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FD88B"/>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admhm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C556-7CAC-46F8-8CCF-6B6556BC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4</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8</cp:revision>
  <cp:lastPrinted>2023-06-08T10:56:00Z</cp:lastPrinted>
  <dcterms:created xsi:type="dcterms:W3CDTF">2023-06-08T11:05:00Z</dcterms:created>
  <dcterms:modified xsi:type="dcterms:W3CDTF">2023-12-13T07:54:00Z</dcterms:modified>
</cp:coreProperties>
</file>